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79678F">
        <w:rPr>
          <w:sz w:val="22"/>
          <w:szCs w:val="22"/>
          <w:lang w:val="en-US"/>
        </w:rPr>
        <w:t>4</w:t>
      </w:r>
      <w:r w:rsidRPr="007B278E">
        <w:rPr>
          <w:sz w:val="22"/>
          <w:szCs w:val="22"/>
          <w:lang w:val="x-none"/>
        </w:rPr>
        <w:t xml:space="preserve"> к договору </w:t>
      </w:r>
    </w:p>
    <w:p w:rsidR="007B278E" w:rsidRPr="007B278E" w:rsidRDefault="00C40617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right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№  </w:t>
      </w:r>
      <w:r w:rsidR="00AC63AE">
        <w:rPr>
          <w:sz w:val="22"/>
          <w:szCs w:val="22"/>
        </w:rPr>
        <w:t xml:space="preserve">     </w:t>
      </w:r>
      <w:r w:rsidR="007B278E" w:rsidRPr="007B278E">
        <w:rPr>
          <w:sz w:val="22"/>
          <w:szCs w:val="22"/>
          <w:lang w:val="x-none"/>
        </w:rPr>
        <w:t>от «____» ___________ ____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Pr="007B278E" w:rsidRDefault="00C40617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г. А</w:t>
      </w:r>
      <w:r>
        <w:rPr>
          <w:sz w:val="22"/>
          <w:szCs w:val="22"/>
        </w:rPr>
        <w:t>нгарск</w:t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  <w:t xml:space="preserve">                                </w:t>
      </w:r>
      <w:r>
        <w:rPr>
          <w:sz w:val="22"/>
          <w:szCs w:val="22"/>
        </w:rPr>
        <w:t xml:space="preserve">                                 </w:t>
      </w:r>
      <w:r w:rsidR="007B278E" w:rsidRPr="007B278E">
        <w:rPr>
          <w:sz w:val="22"/>
          <w:szCs w:val="22"/>
          <w:lang w:val="x-none"/>
        </w:rPr>
        <w:t>«____» _____________ 202__ г.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C40617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 w:rsidRPr="00C40617">
        <w:rPr>
          <w:sz w:val="22"/>
          <w:szCs w:val="22"/>
          <w:lang w:val="x-none"/>
        </w:rPr>
        <w:t>Обще</w:t>
      </w:r>
      <w:r>
        <w:rPr>
          <w:sz w:val="22"/>
          <w:szCs w:val="22"/>
          <w:lang w:val="x-none"/>
        </w:rPr>
        <w:t>ство</w:t>
      </w:r>
      <w:r w:rsidRPr="00C40617">
        <w:rPr>
          <w:sz w:val="22"/>
          <w:szCs w:val="22"/>
          <w:lang w:val="x-none"/>
        </w:rPr>
        <w:t xml:space="preserve"> с ограниченной ответственностью «Байкальская энергетическая компания» </w:t>
      </w:r>
      <w:r w:rsidRPr="00C40617">
        <w:rPr>
          <w:b/>
          <w:sz w:val="22"/>
          <w:szCs w:val="22"/>
          <w:lang w:val="x-none"/>
        </w:rPr>
        <w:t>(ООО «Байкальская энергетическая компания»)</w:t>
      </w:r>
      <w:r w:rsidRPr="00C40617">
        <w:rPr>
          <w:sz w:val="22"/>
          <w:szCs w:val="22"/>
          <w:lang w:val="x-none"/>
        </w:rPr>
        <w:t xml:space="preserve">  , именуемое в дальнейшем «Заказчик», в лице </w:t>
      </w:r>
      <w:r w:rsidR="00C93048" w:rsidRPr="00ED78F2">
        <w:rPr>
          <w:sz w:val="22"/>
          <w:szCs w:val="22"/>
        </w:rPr>
        <w:t>директора ТЭЦ-10  филиала ООО «Байкальская энергетическая компания»</w:t>
      </w:r>
      <w:r w:rsidR="00C93048" w:rsidRPr="000309CA">
        <w:rPr>
          <w:b/>
          <w:sz w:val="22"/>
          <w:szCs w:val="22"/>
        </w:rPr>
        <w:t xml:space="preserve"> </w:t>
      </w:r>
      <w:r w:rsidR="00C93048" w:rsidRPr="00ED78F2">
        <w:rPr>
          <w:b/>
          <w:sz w:val="22"/>
          <w:szCs w:val="22"/>
        </w:rPr>
        <w:t xml:space="preserve">Васильева Дмитрия Валерьевича,  </w:t>
      </w:r>
      <w:r w:rsidR="00C93048" w:rsidRPr="00ED78F2">
        <w:rPr>
          <w:sz w:val="22"/>
          <w:szCs w:val="22"/>
        </w:rPr>
        <w:t xml:space="preserve"> действующего на  основании доверенности № 21 от 26.01.2023 г</w:t>
      </w:r>
      <w:r w:rsidR="00C93048" w:rsidRPr="00ED78F2">
        <w:rPr>
          <w:bCs/>
          <w:sz w:val="22"/>
          <w:szCs w:val="22"/>
        </w:rPr>
        <w:t>.</w:t>
      </w:r>
      <w:r w:rsidRPr="00C40617">
        <w:rPr>
          <w:sz w:val="22"/>
          <w:szCs w:val="22"/>
          <w:lang w:val="x-none"/>
        </w:rPr>
        <w:t xml:space="preserve">,   </w:t>
      </w:r>
      <w:r w:rsidR="009F7C3B" w:rsidRPr="009F7C3B">
        <w:rPr>
          <w:sz w:val="22"/>
          <w:szCs w:val="22"/>
          <w:lang w:val="x-none"/>
        </w:rPr>
        <w:t xml:space="preserve"> с одной стороны,  </w:t>
      </w:r>
      <w:r w:rsidR="00C93048">
        <w:rPr>
          <w:sz w:val="22"/>
          <w:szCs w:val="22"/>
        </w:rPr>
        <w:t xml:space="preserve">и </w:t>
      </w:r>
      <w:r w:rsidR="00AC63AE">
        <w:rPr>
          <w:sz w:val="22"/>
          <w:szCs w:val="22"/>
        </w:rPr>
        <w:t>___________________________________</w:t>
      </w:r>
      <w:r w:rsidR="009F7C3B" w:rsidRPr="009F7C3B">
        <w:rPr>
          <w:sz w:val="22"/>
          <w:szCs w:val="22"/>
          <w:lang w:val="x-none"/>
        </w:rPr>
        <w:t>,</w:t>
      </w:r>
      <w:r w:rsidRPr="00C40617">
        <w:rPr>
          <w:sz w:val="22"/>
          <w:szCs w:val="22"/>
          <w:lang w:val="x-none"/>
        </w:rPr>
        <w:t xml:space="preserve">  именуемое в дальнейшем «Подрядчик», в лице </w:t>
      </w:r>
      <w:r w:rsidR="00AC63AE">
        <w:rPr>
          <w:sz w:val="22"/>
          <w:szCs w:val="22"/>
        </w:rPr>
        <w:t>_________________________________</w:t>
      </w:r>
      <w:r w:rsidRPr="00C40617">
        <w:rPr>
          <w:sz w:val="22"/>
          <w:szCs w:val="22"/>
          <w:lang w:val="x-none"/>
        </w:rPr>
        <w:t xml:space="preserve">, действующего на основании Устава, с другой стороны, </w:t>
      </w:r>
      <w:r w:rsidR="007B278E" w:rsidRPr="007B278E">
        <w:rPr>
          <w:sz w:val="22"/>
          <w:szCs w:val="22"/>
          <w:lang w:val="x-none"/>
        </w:rPr>
        <w:t xml:space="preserve">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</w:t>
      </w:r>
      <w:bookmarkStart w:id="0" w:name="_GoBack"/>
      <w:bookmarkEnd w:id="0"/>
      <w:r w:rsidRPr="007B278E">
        <w:rPr>
          <w:sz w:val="22"/>
          <w:szCs w:val="22"/>
        </w:rPr>
        <w:t>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7B278E">
        <w:rPr>
          <w:sz w:val="22"/>
          <w:szCs w:val="22"/>
        </w:rPr>
        <w:t>Контрагент</w:t>
      </w:r>
      <w:r w:rsidRPr="007B278E">
        <w:rPr>
          <w:sz w:val="22"/>
          <w:szCs w:val="22"/>
          <w:lang w:val="x-none"/>
        </w:rPr>
        <w:t xml:space="preserve">ом,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</w:t>
      </w:r>
      <w:r w:rsidRPr="007B278E">
        <w:rPr>
          <w:sz w:val="22"/>
          <w:szCs w:val="22"/>
          <w:lang w:val="x-none"/>
        </w:rPr>
        <w:lastRenderedPageBreak/>
        <w:t>взаимодействию с Контрагентом,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A3915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A3915" w:rsidRDefault="00CA3915" w:rsidP="00CA3915">
      <w:pPr>
        <w:pStyle w:val="a4"/>
        <w:rPr>
          <w:sz w:val="22"/>
          <w:szCs w:val="22"/>
        </w:rPr>
      </w:pPr>
    </w:p>
    <w:p w:rsidR="007B278E" w:rsidRPr="00CA3915" w:rsidRDefault="00CA3915" w:rsidP="00CA3915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center"/>
        <w:textAlignment w:val="baseline"/>
        <w:rPr>
          <w:b/>
          <w:sz w:val="22"/>
          <w:szCs w:val="22"/>
        </w:rPr>
      </w:pPr>
      <w:r w:rsidRPr="00CA3915">
        <w:rPr>
          <w:b/>
          <w:sz w:val="22"/>
          <w:szCs w:val="22"/>
        </w:rPr>
        <w:t>Подписи Сторон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tbl>
      <w:tblPr>
        <w:tblStyle w:val="a3"/>
        <w:tblpPr w:leftFromText="180" w:rightFromText="180" w:vertAnchor="text" w:horzAnchor="margin" w:tblpY="1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A3915" w:rsidTr="00CA3915">
        <w:tc>
          <w:tcPr>
            <w:tcW w:w="4672" w:type="dxa"/>
          </w:tcPr>
          <w:p w:rsidR="00CA3915" w:rsidRPr="006038AC" w:rsidRDefault="00CA3915" w:rsidP="00CA3915">
            <w:pPr>
              <w:spacing w:after="0"/>
              <w:outlineLvl w:val="0"/>
              <w:rPr>
                <w:b/>
                <w:sz w:val="22"/>
                <w:szCs w:val="22"/>
              </w:rPr>
            </w:pPr>
            <w:r w:rsidRPr="006038AC">
              <w:rPr>
                <w:b/>
                <w:sz w:val="22"/>
                <w:szCs w:val="22"/>
              </w:rPr>
              <w:t>Заказчик:</w:t>
            </w: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  <w:r w:rsidRPr="00C93048">
              <w:rPr>
                <w:sz w:val="22"/>
                <w:szCs w:val="22"/>
              </w:rPr>
              <w:t>Директор ТЭЦ-10</w:t>
            </w:r>
            <w:r w:rsidRPr="00C93048">
              <w:t xml:space="preserve"> </w:t>
            </w:r>
            <w:r w:rsidRPr="00C93048">
              <w:rPr>
                <w:sz w:val="22"/>
                <w:szCs w:val="22"/>
              </w:rPr>
              <w:t>филиала</w:t>
            </w: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  <w:r w:rsidRPr="00C93048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</w:p>
          <w:p w:rsidR="00C93048" w:rsidRPr="00C93048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</w:p>
          <w:p w:rsidR="00CA3915" w:rsidRPr="006038AC" w:rsidRDefault="00C93048" w:rsidP="00C93048">
            <w:pPr>
              <w:spacing w:after="0"/>
              <w:outlineLvl w:val="0"/>
              <w:rPr>
                <w:sz w:val="22"/>
                <w:szCs w:val="22"/>
              </w:rPr>
            </w:pPr>
            <w:r w:rsidRPr="00C93048">
              <w:rPr>
                <w:sz w:val="22"/>
                <w:szCs w:val="22"/>
              </w:rPr>
              <w:t>_________________ Д.В. Васильев</w:t>
            </w:r>
          </w:p>
        </w:tc>
        <w:tc>
          <w:tcPr>
            <w:tcW w:w="4673" w:type="dxa"/>
          </w:tcPr>
          <w:p w:rsidR="00CA3915" w:rsidRPr="006038AC" w:rsidRDefault="00CA3915" w:rsidP="00CA3915">
            <w:pPr>
              <w:spacing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</w:t>
            </w:r>
            <w:r w:rsidRPr="006038AC">
              <w:rPr>
                <w:b/>
                <w:bCs/>
                <w:sz w:val="22"/>
                <w:szCs w:val="22"/>
              </w:rPr>
              <w:t>Подрядчик:</w:t>
            </w:r>
          </w:p>
          <w:p w:rsidR="00AC63AE" w:rsidRDefault="00CA3915" w:rsidP="00AC63AE">
            <w:pPr>
              <w:spacing w:after="0"/>
              <w:rPr>
                <w:sz w:val="22"/>
                <w:szCs w:val="22"/>
                <w:lang w:val="x-none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  <w:p w:rsidR="00CA3915" w:rsidRDefault="00CA3915" w:rsidP="00CA3915">
            <w:pPr>
              <w:widowControl w:val="0"/>
              <w:tabs>
                <w:tab w:val="left" w:pos="1134"/>
              </w:tabs>
              <w:suppressAutoHyphens/>
              <w:autoSpaceDN w:val="0"/>
              <w:spacing w:after="0"/>
              <w:textAlignment w:val="baseline"/>
              <w:rPr>
                <w:sz w:val="22"/>
                <w:szCs w:val="22"/>
                <w:lang w:val="x-none"/>
              </w:rPr>
            </w:pPr>
          </w:p>
        </w:tc>
      </w:tr>
    </w:tbl>
    <w:p w:rsidR="00D27400" w:rsidRDefault="00D27400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D27400" w:rsidRDefault="00D27400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sectPr w:rsidR="00D2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334958"/>
    <w:rsid w:val="00356A9D"/>
    <w:rsid w:val="003E4B98"/>
    <w:rsid w:val="005C5679"/>
    <w:rsid w:val="006038AC"/>
    <w:rsid w:val="0079678F"/>
    <w:rsid w:val="007B278E"/>
    <w:rsid w:val="009F7C3B"/>
    <w:rsid w:val="00A40017"/>
    <w:rsid w:val="00A53C41"/>
    <w:rsid w:val="00AC63AE"/>
    <w:rsid w:val="00B574EE"/>
    <w:rsid w:val="00C070CD"/>
    <w:rsid w:val="00C40617"/>
    <w:rsid w:val="00C93048"/>
    <w:rsid w:val="00CA3915"/>
    <w:rsid w:val="00D27400"/>
    <w:rsid w:val="00E27D4D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9FFE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3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Nikolaeva Marina</cp:lastModifiedBy>
  <cp:revision>12</cp:revision>
  <dcterms:created xsi:type="dcterms:W3CDTF">2022-11-24T06:46:00Z</dcterms:created>
  <dcterms:modified xsi:type="dcterms:W3CDTF">2023-07-13T05:37:00Z</dcterms:modified>
</cp:coreProperties>
</file>